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DEA" w:rsidRDefault="00D05DEA" w:rsidP="00D05DEA">
      <w:pPr>
        <w:jc w:val="both"/>
      </w:pPr>
      <w:r>
        <w:t xml:space="preserve">Es ist heute leicht möglich, Datenbanksysteme „zusammenzuschalten“. </w:t>
      </w:r>
      <w:r w:rsidR="002201D3">
        <w:t>Beschreiben Sie</w:t>
      </w:r>
      <w:r>
        <w:t xml:space="preserve"> Auswirkungen eines solchen Zusammenschlusses.</w:t>
      </w:r>
    </w:p>
    <w:p w:rsidR="00D05DEA" w:rsidRPr="009D28B0" w:rsidRDefault="00114267" w:rsidP="00D05DEA">
      <w:pPr>
        <w:jc w:val="both"/>
        <w:rPr>
          <w:i/>
        </w:rPr>
      </w:pPr>
      <w:r>
        <w:rPr>
          <w:i/>
          <w:highlight w:val="yellow"/>
        </w:rPr>
        <w:t>???</w:t>
      </w:r>
    </w:p>
    <w:p w:rsidR="00D05DEA" w:rsidRDefault="00D05DEA" w:rsidP="00D05DEA">
      <w:pPr>
        <w:jc w:val="both"/>
      </w:pPr>
      <w:r>
        <w:t>Als im Zusammenhang mit der Einführung eines maschinenlesbaren Personalausweises in der Bundesrepublik Deutschland 1983 eine Volkszählung durchgeführt werden sollte, weigerten sich viele Bürger, die entsprechenden umfangreichen Formulare auszufüllen. Gegen den Widerstand der Bundestagsmehrheit, der meisten Bundesländer und vieler Experten, gegen den Druck des Bundesinnenministeriums wurde das Problem des Datenmissbrauchs einer breiten Öffentlichkeit bekanntgemacht und ein richtungsweisendes gerichtliches Urteil (Urteil des Ersten Senats des Bundesverfassungsgerichts vom 15.</w:t>
      </w:r>
      <w:r w:rsidR="00114267">
        <w:t> </w:t>
      </w:r>
      <w:r>
        <w:t>Dezember 1983) erstritten. In diesem Urteil heißt es u.</w:t>
      </w:r>
      <w:r w:rsidR="00114267">
        <w:t> </w:t>
      </w:r>
      <w:r>
        <w:t>a.:</w:t>
      </w:r>
    </w:p>
    <w:p w:rsidR="00D05DEA" w:rsidRDefault="00D05DEA" w:rsidP="00D05DEA">
      <w:pPr>
        <w:ind w:left="567" w:right="708"/>
        <w:jc w:val="both"/>
      </w:pPr>
      <w:r>
        <w:t>„Wer damit rechnet, dass etwa die Teilnahme an einer Versammlung oder einer Bürgerinitiative behördlich registriert wird und dass ihm dadurch Risiken entstehen können, wird möglicheiweise auf die Ausübung seiner entsprechenden Grundrechte verzichten. Dies würde nicht nur die individuellen Entfaltungschancen des einzelnen beeinträchtigen, sondern auch das Gemeinwohl, weil Selbstbestimmung eine elementare Funktionsbedingung eines auf Handlungs- und Mitwirkungsfähigkeit seiner Bürger begründeter freiheitlichen demokratischen Gemeinwesens ist.“</w:t>
      </w:r>
    </w:p>
    <w:p w:rsidR="00D05DEA" w:rsidRDefault="00D05DEA" w:rsidP="00D05DEA">
      <w:pPr>
        <w:jc w:val="both"/>
      </w:pPr>
      <w:r>
        <w:t>Die geplante Volkszählung der Deutschen von 1983 wurde als teilweise verfassungswidrig erklärt. Weitaus wichtiger ist allerdings, dass das Bundesverfassungsgericht ein Grundrecht auf Datenschutz postuliert hat.</w:t>
      </w:r>
    </w:p>
    <w:p w:rsidR="00D05DEA" w:rsidRDefault="00D05DEA">
      <w:pPr>
        <w:spacing w:after="0" w:line="240" w:lineRule="auto"/>
      </w:pPr>
      <w:r>
        <w:br w:type="page"/>
      </w:r>
    </w:p>
    <w:p w:rsidR="002201D3" w:rsidRDefault="002201D3" w:rsidP="00D05DEA">
      <w:pPr>
        <w:jc w:val="both"/>
      </w:pPr>
      <w:r>
        <w:lastRenderedPageBreak/>
        <w:t>Das Grundrecht auf Date</w:t>
      </w:r>
      <w:r w:rsidR="007017E8">
        <w:t>n</w:t>
      </w:r>
      <w:r>
        <w:t>schutz findet sich nur indirekt im Grundgesetz der Bundesrepublik Deutschland. Ermitteln Sie die zugrundeliegenden Artikel.</w:t>
      </w:r>
    </w:p>
    <w:p w:rsidR="002201D3" w:rsidRPr="009D28B0" w:rsidRDefault="002201D3" w:rsidP="002201D3">
      <w:pPr>
        <w:jc w:val="both"/>
        <w:rPr>
          <w:i/>
        </w:rPr>
      </w:pPr>
      <w:r>
        <w:rPr>
          <w:i/>
          <w:highlight w:val="yellow"/>
        </w:rPr>
        <w:t>???</w:t>
      </w:r>
    </w:p>
    <w:p w:rsidR="00D05DEA" w:rsidRDefault="002201D3" w:rsidP="00D05DEA">
      <w:pPr>
        <w:jc w:val="both"/>
      </w:pPr>
      <w:r>
        <w:t>Beschreibe</w:t>
      </w:r>
      <w:r w:rsidR="00D05DEA">
        <w:t xml:space="preserve"> die in der folgenden Tabelle aufgeführten Komponenten eines Grundrechts auf Datenschutz.</w:t>
      </w:r>
    </w:p>
    <w:tbl>
      <w:tblPr>
        <w:tblStyle w:val="HelleListe-Akzent1"/>
        <w:tblW w:w="0" w:type="auto"/>
        <w:tblLook w:val="04A0" w:firstRow="1" w:lastRow="0" w:firstColumn="1" w:lastColumn="0" w:noHBand="0" w:noVBand="1"/>
      </w:tblPr>
      <w:tblGrid>
        <w:gridCol w:w="2429"/>
        <w:gridCol w:w="6858"/>
      </w:tblGrid>
      <w:tr w:rsidR="00D05DEA" w:rsidTr="00496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rsidR="00D05DEA" w:rsidRDefault="00D05DEA" w:rsidP="00D05DEA">
            <w:pPr>
              <w:spacing w:after="0"/>
              <w:jc w:val="both"/>
            </w:pPr>
            <w:r>
              <w:t>Komponente</w:t>
            </w:r>
          </w:p>
        </w:tc>
        <w:tc>
          <w:tcPr>
            <w:tcW w:w="6941" w:type="dxa"/>
          </w:tcPr>
          <w:p w:rsidR="00D05DEA" w:rsidRPr="008F5D43" w:rsidRDefault="00D05DEA" w:rsidP="00D05DEA">
            <w:pPr>
              <w:spacing w:after="0"/>
              <w:cnfStyle w:val="100000000000" w:firstRow="1" w:lastRow="0" w:firstColumn="0" w:lastColumn="0" w:oddVBand="0" w:evenVBand="0" w:oddHBand="0" w:evenHBand="0" w:firstRowFirstColumn="0" w:firstRowLastColumn="0" w:lastRowFirstColumn="0" w:lastRowLastColumn="0"/>
            </w:pPr>
            <w:r w:rsidRPr="008F5D43">
              <w:t>Erläuterung</w:t>
            </w:r>
          </w:p>
        </w:tc>
      </w:tr>
      <w:tr w:rsidR="00D05DEA" w:rsidTr="00496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rsidR="00D05DEA" w:rsidRDefault="00D05DEA" w:rsidP="00D05DEA">
            <w:pPr>
              <w:spacing w:after="0"/>
              <w:jc w:val="both"/>
            </w:pPr>
            <w:r>
              <w:t>Informationelles Selbstbestimmungs</w:t>
            </w:r>
            <w:r>
              <w:softHyphen/>
              <w:t>recht</w:t>
            </w:r>
          </w:p>
        </w:tc>
        <w:tc>
          <w:tcPr>
            <w:tcW w:w="6941" w:type="dxa"/>
          </w:tcPr>
          <w:p w:rsidR="00D05DEA" w:rsidRPr="00114267" w:rsidRDefault="00114267" w:rsidP="00114267">
            <w:pPr>
              <w:pStyle w:val="Listenabsatz"/>
              <w:numPr>
                <w:ilvl w:val="0"/>
                <w:numId w:val="3"/>
              </w:numPr>
              <w:spacing w:after="0"/>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w:t>
            </w:r>
          </w:p>
        </w:tc>
      </w:tr>
      <w:tr w:rsidR="00D05DEA" w:rsidTr="004969E1">
        <w:tc>
          <w:tcPr>
            <w:cnfStyle w:val="001000000000" w:firstRow="0" w:lastRow="0" w:firstColumn="1" w:lastColumn="0" w:oddVBand="0" w:evenVBand="0" w:oddHBand="0" w:evenHBand="0" w:firstRowFirstColumn="0" w:firstRowLastColumn="0" w:lastRowFirstColumn="0" w:lastRowLastColumn="0"/>
            <w:tcW w:w="2271" w:type="dxa"/>
          </w:tcPr>
          <w:p w:rsidR="00D05DEA" w:rsidRDefault="00D05DEA" w:rsidP="00D05DEA">
            <w:pPr>
              <w:spacing w:after="0"/>
              <w:jc w:val="both"/>
            </w:pPr>
            <w:r>
              <w:t>Zweckentfremdungs</w:t>
            </w:r>
            <w:r>
              <w:softHyphen/>
              <w:t>verbot</w:t>
            </w:r>
          </w:p>
        </w:tc>
        <w:tc>
          <w:tcPr>
            <w:tcW w:w="6941" w:type="dxa"/>
          </w:tcPr>
          <w:p w:rsidR="00D05DEA" w:rsidRPr="00114267" w:rsidRDefault="00114267" w:rsidP="00114267">
            <w:pPr>
              <w:pStyle w:val="Listenabsatz"/>
              <w:numPr>
                <w:ilvl w:val="0"/>
                <w:numId w:val="3"/>
              </w:numPr>
              <w:spacing w:after="0"/>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w:t>
            </w:r>
          </w:p>
        </w:tc>
      </w:tr>
      <w:tr w:rsidR="00D05DEA" w:rsidTr="00496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rsidR="00D05DEA" w:rsidRDefault="00D05DEA" w:rsidP="00D05DEA">
            <w:pPr>
              <w:spacing w:after="0"/>
              <w:jc w:val="both"/>
            </w:pPr>
            <w:r>
              <w:t>Informationelle Gewaltenteilung</w:t>
            </w:r>
          </w:p>
        </w:tc>
        <w:tc>
          <w:tcPr>
            <w:tcW w:w="6941" w:type="dxa"/>
          </w:tcPr>
          <w:p w:rsidR="00D05DEA" w:rsidRPr="00114267" w:rsidRDefault="00114267" w:rsidP="00D05DEA">
            <w:pPr>
              <w:pStyle w:val="Listenabsatz"/>
              <w:numPr>
                <w:ilvl w:val="0"/>
                <w:numId w:val="3"/>
              </w:numPr>
              <w:spacing w:after="0"/>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w:t>
            </w:r>
          </w:p>
        </w:tc>
      </w:tr>
    </w:tbl>
    <w:p w:rsidR="00D05DEA" w:rsidRDefault="00D05DEA" w:rsidP="002201D3">
      <w:pPr>
        <w:spacing w:before="120"/>
        <w:jc w:val="both"/>
      </w:pPr>
      <w:r>
        <w:t>Datenschutz ist eine gesellschaftliche Aufgabe und muss mit rechtlichen Mitteln durchgesetzt werden.</w:t>
      </w:r>
      <w:r>
        <w:br w:type="page"/>
      </w:r>
    </w:p>
    <w:p w:rsidR="00D05DEA" w:rsidRDefault="00D05DEA" w:rsidP="00D05DEA">
      <w:pPr>
        <w:jc w:val="both"/>
      </w:pPr>
      <w:r>
        <w:lastRenderedPageBreak/>
        <w:t xml:space="preserve">Bei der Arbeit an informationsverarbeitender Technik, im Umgang mit Anwendungsprogrammen und insbesondere mit Datenbanksystemen </w:t>
      </w:r>
      <w:r w:rsidR="002201D3">
        <w:t xml:space="preserve">existiert neben dem rechtlichen Aspekt Datenschutz auch die </w:t>
      </w:r>
      <w:r>
        <w:t xml:space="preserve">technische </w:t>
      </w:r>
      <w:r w:rsidR="002201D3">
        <w:t xml:space="preserve">Komponente </w:t>
      </w:r>
      <w:r w:rsidRPr="00D05DEA">
        <w:rPr>
          <w:b/>
        </w:rPr>
        <w:t>Datensicherheit</w:t>
      </w:r>
      <w:r>
        <w:t>:</w:t>
      </w:r>
    </w:p>
    <w:p w:rsidR="00D05DEA" w:rsidRDefault="00D05DEA" w:rsidP="002201D3">
      <w:pPr>
        <w:ind w:left="567" w:right="1133"/>
        <w:jc w:val="both"/>
      </w:pPr>
      <w:r>
        <w:t>Wie können gesammelte Daten vor Verlust oder unsachgemäßer Veränderung durch andere Nutzer geschützt werden? Wie sollten umfangreiche Datenmengen strukturiert und abgelegt werden, damit sie jederzeit leicht wiedergefunden werden können?</w:t>
      </w:r>
    </w:p>
    <w:p w:rsidR="00D05DEA" w:rsidRDefault="00D05DEA" w:rsidP="00D05DEA">
      <w:pPr>
        <w:jc w:val="both"/>
      </w:pPr>
      <w:r>
        <w:t>Nenne</w:t>
      </w:r>
      <w:r w:rsidR="007017E8">
        <w:t>n Sie</w:t>
      </w:r>
      <w:bookmarkStart w:id="0" w:name="_GoBack"/>
      <w:bookmarkEnd w:id="0"/>
      <w:r>
        <w:t xml:space="preserve"> zu den im Folgenden aufgeführten Komponenten der Datensicherheit wesentliche Maßnahmen zu deren Durchsetzung.</w:t>
      </w:r>
    </w:p>
    <w:tbl>
      <w:tblPr>
        <w:tblStyle w:val="HelleListe-Akzent1"/>
        <w:tblW w:w="0" w:type="auto"/>
        <w:tblLook w:val="04A0" w:firstRow="1" w:lastRow="0" w:firstColumn="1" w:lastColumn="0" w:noHBand="0" w:noVBand="1"/>
      </w:tblPr>
      <w:tblGrid>
        <w:gridCol w:w="2376"/>
        <w:gridCol w:w="6836"/>
      </w:tblGrid>
      <w:tr w:rsidR="00D05DEA" w:rsidTr="00496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D05DEA" w:rsidRDefault="00D05DEA" w:rsidP="004969E1">
            <w:r>
              <w:t>Komponente</w:t>
            </w:r>
          </w:p>
        </w:tc>
        <w:tc>
          <w:tcPr>
            <w:tcW w:w="6836" w:type="dxa"/>
          </w:tcPr>
          <w:p w:rsidR="00D05DEA" w:rsidRDefault="00D05DEA" w:rsidP="004969E1">
            <w:pPr>
              <w:jc w:val="both"/>
              <w:cnfStyle w:val="100000000000" w:firstRow="1" w:lastRow="0" w:firstColumn="0" w:lastColumn="0" w:oddVBand="0" w:evenVBand="0" w:oddHBand="0" w:evenHBand="0" w:firstRowFirstColumn="0" w:firstRowLastColumn="0" w:lastRowFirstColumn="0" w:lastRowLastColumn="0"/>
            </w:pPr>
            <w:r>
              <w:t xml:space="preserve">Maßnahmen </w:t>
            </w:r>
          </w:p>
        </w:tc>
      </w:tr>
      <w:tr w:rsidR="00114267" w:rsidTr="00496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114267" w:rsidRDefault="00114267" w:rsidP="004969E1">
            <w:r>
              <w:t>Schutz vor Datenverlust durch Systemabstürze oder Technikausfall</w:t>
            </w:r>
          </w:p>
        </w:tc>
        <w:tc>
          <w:tcPr>
            <w:tcW w:w="6836" w:type="dxa"/>
          </w:tcPr>
          <w:p w:rsidR="00114267" w:rsidRDefault="00114267" w:rsidP="00114267">
            <w:pPr>
              <w:pStyle w:val="Listenabsatz"/>
              <w:numPr>
                <w:ilvl w:val="0"/>
                <w:numId w:val="3"/>
              </w:numPr>
              <w:cnfStyle w:val="000000100000" w:firstRow="0" w:lastRow="0" w:firstColumn="0" w:lastColumn="0" w:oddVBand="0" w:evenVBand="0" w:oddHBand="1" w:evenHBand="0" w:firstRowFirstColumn="0" w:firstRowLastColumn="0" w:lastRowFirstColumn="0" w:lastRowLastColumn="0"/>
            </w:pPr>
            <w:r w:rsidRPr="00114267">
              <w:rPr>
                <w:highlight w:val="yellow"/>
              </w:rPr>
              <w:t>???</w:t>
            </w:r>
          </w:p>
        </w:tc>
      </w:tr>
      <w:tr w:rsidR="00114267" w:rsidTr="004969E1">
        <w:tc>
          <w:tcPr>
            <w:cnfStyle w:val="001000000000" w:firstRow="0" w:lastRow="0" w:firstColumn="1" w:lastColumn="0" w:oddVBand="0" w:evenVBand="0" w:oddHBand="0" w:evenHBand="0" w:firstRowFirstColumn="0" w:firstRowLastColumn="0" w:lastRowFirstColumn="0" w:lastRowLastColumn="0"/>
            <w:tcW w:w="2376" w:type="dxa"/>
          </w:tcPr>
          <w:p w:rsidR="00114267" w:rsidRDefault="00114267" w:rsidP="004969E1">
            <w:r>
              <w:t xml:space="preserve">Vermeidung unbefugter Zugriffe </w:t>
            </w:r>
          </w:p>
        </w:tc>
        <w:tc>
          <w:tcPr>
            <w:tcW w:w="6836" w:type="dxa"/>
          </w:tcPr>
          <w:p w:rsidR="00114267" w:rsidRDefault="00114267" w:rsidP="00114267">
            <w:pPr>
              <w:pStyle w:val="Listenabsatz"/>
              <w:numPr>
                <w:ilvl w:val="0"/>
                <w:numId w:val="3"/>
              </w:numPr>
              <w:cnfStyle w:val="000000000000" w:firstRow="0" w:lastRow="0" w:firstColumn="0" w:lastColumn="0" w:oddVBand="0" w:evenVBand="0" w:oddHBand="0" w:evenHBand="0" w:firstRowFirstColumn="0" w:firstRowLastColumn="0" w:lastRowFirstColumn="0" w:lastRowLastColumn="0"/>
            </w:pPr>
            <w:r w:rsidRPr="00114267">
              <w:rPr>
                <w:highlight w:val="yellow"/>
              </w:rPr>
              <w:t>???</w:t>
            </w:r>
          </w:p>
        </w:tc>
      </w:tr>
      <w:tr w:rsidR="00114267" w:rsidTr="00496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114267" w:rsidRDefault="00114267" w:rsidP="004969E1">
            <w:r>
              <w:t>Schutz vor Schadsoftware</w:t>
            </w:r>
          </w:p>
        </w:tc>
        <w:tc>
          <w:tcPr>
            <w:tcW w:w="6836" w:type="dxa"/>
          </w:tcPr>
          <w:p w:rsidR="00114267" w:rsidRDefault="00114267" w:rsidP="00114267">
            <w:pPr>
              <w:pStyle w:val="Listenabsatz"/>
              <w:numPr>
                <w:ilvl w:val="0"/>
                <w:numId w:val="3"/>
              </w:numPr>
              <w:cnfStyle w:val="000000100000" w:firstRow="0" w:lastRow="0" w:firstColumn="0" w:lastColumn="0" w:oddVBand="0" w:evenVBand="0" w:oddHBand="1" w:evenHBand="0" w:firstRowFirstColumn="0" w:firstRowLastColumn="0" w:lastRowFirstColumn="0" w:lastRowLastColumn="0"/>
            </w:pPr>
            <w:r w:rsidRPr="00114267">
              <w:rPr>
                <w:highlight w:val="yellow"/>
              </w:rPr>
              <w:t>???</w:t>
            </w:r>
          </w:p>
        </w:tc>
      </w:tr>
      <w:tr w:rsidR="00114267" w:rsidTr="004969E1">
        <w:tc>
          <w:tcPr>
            <w:cnfStyle w:val="001000000000" w:firstRow="0" w:lastRow="0" w:firstColumn="1" w:lastColumn="0" w:oddVBand="0" w:evenVBand="0" w:oddHBand="0" w:evenHBand="0" w:firstRowFirstColumn="0" w:firstRowLastColumn="0" w:lastRowFirstColumn="0" w:lastRowLastColumn="0"/>
            <w:tcW w:w="2376" w:type="dxa"/>
          </w:tcPr>
          <w:p w:rsidR="00114267" w:rsidRDefault="00114267" w:rsidP="004969E1">
            <w:r>
              <w:t>Finden von gespeicherten Informationen</w:t>
            </w:r>
          </w:p>
        </w:tc>
        <w:tc>
          <w:tcPr>
            <w:tcW w:w="6836" w:type="dxa"/>
          </w:tcPr>
          <w:p w:rsidR="00114267" w:rsidRDefault="00114267" w:rsidP="00114267">
            <w:pPr>
              <w:pStyle w:val="Listenabsatz"/>
              <w:numPr>
                <w:ilvl w:val="0"/>
                <w:numId w:val="3"/>
              </w:numPr>
              <w:cnfStyle w:val="000000000000" w:firstRow="0" w:lastRow="0" w:firstColumn="0" w:lastColumn="0" w:oddVBand="0" w:evenVBand="0" w:oddHBand="0" w:evenHBand="0" w:firstRowFirstColumn="0" w:firstRowLastColumn="0" w:lastRowFirstColumn="0" w:lastRowLastColumn="0"/>
            </w:pPr>
            <w:r w:rsidRPr="00114267">
              <w:rPr>
                <w:highlight w:val="yellow"/>
              </w:rPr>
              <w:t>???</w:t>
            </w:r>
          </w:p>
        </w:tc>
      </w:tr>
    </w:tbl>
    <w:p w:rsidR="008D305F" w:rsidRPr="00771E1E" w:rsidRDefault="008D305F" w:rsidP="00771E1E"/>
    <w:sectPr w:rsidR="008D305F" w:rsidRPr="00771E1E" w:rsidSect="0037159F">
      <w:headerReference w:type="default" r:id="rId9"/>
      <w:footerReference w:type="default" r:id="rId10"/>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3E" w:rsidRDefault="004C3D3E">
      <w:r>
        <w:separator/>
      </w:r>
    </w:p>
  </w:endnote>
  <w:endnote w:type="continuationSeparator" w:id="0">
    <w:p w:rsidR="004C3D3E" w:rsidRDefault="004C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B8" w:rsidRPr="00E922B7" w:rsidRDefault="00562BB8" w:rsidP="00E922B7">
    <w:pPr>
      <w:pStyle w:val="Fuzeile"/>
      <w:pBdr>
        <w:top w:val="single" w:sz="4" w:space="1" w:color="auto"/>
      </w:pBdr>
      <w:jc w:val="center"/>
      <w:rPr>
        <w:sz w:val="16"/>
        <w:szCs w:val="16"/>
      </w:rPr>
    </w:pPr>
    <w:r w:rsidRPr="00E922B7">
      <w:rPr>
        <w:sz w:val="16"/>
        <w:szCs w:val="16"/>
      </w:rPr>
      <w:t xml:space="preserve">© T. Hempel </w:t>
    </w:r>
    <w:r w:rsidRPr="00E922B7">
      <w:rPr>
        <w:rFonts w:cs="Arial"/>
        <w:sz w:val="16"/>
        <w:szCs w:val="16"/>
      </w:rPr>
      <w:t>·</w:t>
    </w:r>
    <w:r w:rsidRPr="00E922B7">
      <w:rPr>
        <w:sz w:val="16"/>
        <w:szCs w:val="16"/>
      </w:rPr>
      <w:t xml:space="preserve"> Version vom </w:t>
    </w:r>
    <w:r w:rsidRPr="00E922B7">
      <w:rPr>
        <w:sz w:val="16"/>
        <w:szCs w:val="16"/>
      </w:rPr>
      <w:fldChar w:fldCharType="begin"/>
    </w:r>
    <w:r w:rsidRPr="00E922B7">
      <w:rPr>
        <w:sz w:val="16"/>
        <w:szCs w:val="16"/>
      </w:rPr>
      <w:instrText xml:space="preserve"> SAVEDATE  \@ "dd.MM.yyyy"  \* MERGEFORMAT </w:instrText>
    </w:r>
    <w:r w:rsidRPr="00E922B7">
      <w:rPr>
        <w:sz w:val="16"/>
        <w:szCs w:val="16"/>
      </w:rPr>
      <w:fldChar w:fldCharType="separate"/>
    </w:r>
    <w:r w:rsidR="007017E8">
      <w:rPr>
        <w:noProof/>
        <w:sz w:val="16"/>
        <w:szCs w:val="16"/>
      </w:rPr>
      <w:t>19.11.2014</w:t>
    </w:r>
    <w:r w:rsidRPr="00E922B7">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3E" w:rsidRDefault="004C3D3E">
      <w:r>
        <w:separator/>
      </w:r>
    </w:p>
  </w:footnote>
  <w:footnote w:type="continuationSeparator" w:id="0">
    <w:p w:rsidR="004C3D3E" w:rsidRDefault="004C3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16"/>
      <w:gridCol w:w="8171"/>
    </w:tblGrid>
    <w:tr w:rsidR="00562BB8" w:rsidRPr="00E922B7">
      <w:tc>
        <w:tcPr>
          <w:tcW w:w="1008" w:type="dxa"/>
        </w:tcPr>
        <w:p w:rsidR="00562BB8" w:rsidRPr="00E922B7" w:rsidRDefault="00771E1E" w:rsidP="00D05DEA">
          <w:pPr>
            <w:pStyle w:val="Kopfzeile"/>
            <w:tabs>
              <w:tab w:val="clear" w:pos="4536"/>
              <w:tab w:val="clear" w:pos="9072"/>
            </w:tabs>
            <w:spacing w:after="0" w:line="240" w:lineRule="auto"/>
          </w:pPr>
          <w:r>
            <w:rPr>
              <w:noProof/>
              <w:lang w:eastAsia="de-DE"/>
            </w:rPr>
            <w:drawing>
              <wp:inline distT="0" distB="0" distL="0" distR="0">
                <wp:extent cx="571500" cy="523875"/>
                <wp:effectExtent l="0" t="0" r="0" b="0"/>
                <wp:docPr id="1" name="Bild 1" descr="e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le"/>
                        <pic:cNvPicPr>
                          <a:picLocks noChangeAspect="1" noChangeArrowheads="1" noCrop="1"/>
                        </pic:cNvPicPr>
                      </pic:nvPicPr>
                      <pic:blipFill>
                        <a:blip r:embed="rId1"/>
                        <a:srcRect/>
                        <a:stretch>
                          <a:fillRect/>
                        </a:stretch>
                      </pic:blipFill>
                      <pic:spPr bwMode="auto">
                        <a:xfrm>
                          <a:off x="0" y="0"/>
                          <a:ext cx="571500" cy="523875"/>
                        </a:xfrm>
                        <a:prstGeom prst="rect">
                          <a:avLst/>
                        </a:prstGeom>
                        <a:noFill/>
                        <a:ln w="9525">
                          <a:noFill/>
                          <a:miter lim="800000"/>
                          <a:headEnd/>
                          <a:tailEnd/>
                        </a:ln>
                      </pic:spPr>
                    </pic:pic>
                  </a:graphicData>
                </a:graphic>
              </wp:inline>
            </w:drawing>
          </w:r>
        </w:p>
      </w:tc>
      <w:tc>
        <w:tcPr>
          <w:tcW w:w="8204" w:type="dxa"/>
          <w:vAlign w:val="center"/>
        </w:tcPr>
        <w:p w:rsidR="00D05DEA" w:rsidRDefault="00D05DEA" w:rsidP="00D05DEA">
          <w:pPr>
            <w:autoSpaceDE w:val="0"/>
            <w:autoSpaceDN w:val="0"/>
            <w:adjustRightInd w:val="0"/>
            <w:spacing w:after="0" w:line="240" w:lineRule="auto"/>
            <w:rPr>
              <w:rFonts w:cs="Arial"/>
              <w:sz w:val="16"/>
              <w:szCs w:val="20"/>
            </w:rPr>
          </w:pPr>
          <w:r>
            <w:rPr>
              <w:b/>
              <w:sz w:val="32"/>
              <w:szCs w:val="32"/>
            </w:rPr>
            <w:t>Datenschutz und Datensicherheit</w:t>
          </w:r>
          <w:r>
            <w:rPr>
              <w:b/>
              <w:sz w:val="32"/>
              <w:szCs w:val="32"/>
            </w:rPr>
            <w:br/>
          </w:r>
          <w:r>
            <w:rPr>
              <w:rFonts w:cs="Arial"/>
              <w:sz w:val="16"/>
            </w:rPr>
            <w:t xml:space="preserve">Quelle: </w:t>
          </w:r>
          <w:r>
            <w:rPr>
              <w:rFonts w:cs="Arial"/>
              <w:b/>
              <w:bCs/>
              <w:sz w:val="16"/>
              <w:szCs w:val="54"/>
            </w:rPr>
            <w:t xml:space="preserve">Einführung in die angewandte Informatik mit MS Office 97/2000 </w:t>
          </w:r>
          <w:r>
            <w:rPr>
              <w:rFonts w:cs="Arial"/>
              <w:b/>
              <w:bCs/>
              <w:sz w:val="16"/>
              <w:szCs w:val="40"/>
            </w:rPr>
            <w:t xml:space="preserve">Lösungsheft </w:t>
          </w:r>
          <w:r>
            <w:rPr>
              <w:rFonts w:cs="Arial"/>
              <w:sz w:val="16"/>
              <w:szCs w:val="28"/>
            </w:rPr>
            <w:t xml:space="preserve">von Dr. Lutz Engelmann, Uwe Heilmann, Peter Mattenklott, Reinhard </w:t>
          </w:r>
          <w:proofErr w:type="spellStart"/>
          <w:r>
            <w:rPr>
              <w:rFonts w:cs="Arial"/>
              <w:sz w:val="16"/>
              <w:szCs w:val="28"/>
            </w:rPr>
            <w:t>Raake</w:t>
          </w:r>
          <w:proofErr w:type="spellEnd"/>
          <w:r>
            <w:rPr>
              <w:rFonts w:cs="Arial"/>
              <w:sz w:val="16"/>
              <w:szCs w:val="28"/>
            </w:rPr>
            <w:t xml:space="preserve">, Dr. Uwe </w:t>
          </w:r>
          <w:proofErr w:type="spellStart"/>
          <w:r>
            <w:rPr>
              <w:rFonts w:cs="Arial"/>
              <w:sz w:val="16"/>
              <w:szCs w:val="28"/>
            </w:rPr>
            <w:t>Schwippl</w:t>
          </w:r>
          <w:proofErr w:type="spellEnd"/>
          <w:r>
            <w:rPr>
              <w:rFonts w:cs="Arial"/>
              <w:sz w:val="16"/>
              <w:szCs w:val="28"/>
            </w:rPr>
            <w:t xml:space="preserve">, </w:t>
          </w:r>
          <w:proofErr w:type="spellStart"/>
          <w:r>
            <w:rPr>
              <w:rFonts w:cs="Arial"/>
              <w:sz w:val="16"/>
              <w:szCs w:val="28"/>
            </w:rPr>
            <w:t>Paetac</w:t>
          </w:r>
          <w:proofErr w:type="spellEnd"/>
          <w:r>
            <w:rPr>
              <w:rFonts w:cs="Arial"/>
              <w:sz w:val="16"/>
              <w:szCs w:val="28"/>
            </w:rPr>
            <w:t>-Verlag.</w:t>
          </w:r>
        </w:p>
        <w:p w:rsidR="00562BB8" w:rsidRPr="0037159F" w:rsidRDefault="00562BB8" w:rsidP="00D05DEA">
          <w:pPr>
            <w:pStyle w:val="Kopfzeile"/>
            <w:tabs>
              <w:tab w:val="clear" w:pos="4536"/>
              <w:tab w:val="clear" w:pos="9072"/>
              <w:tab w:val="left" w:pos="2853"/>
              <w:tab w:val="left" w:pos="6255"/>
            </w:tabs>
            <w:spacing w:after="0" w:line="240" w:lineRule="auto"/>
            <w:rPr>
              <w:b/>
              <w:sz w:val="24"/>
            </w:rPr>
          </w:pPr>
          <w:r w:rsidRPr="0037159F">
            <w:rPr>
              <w:b/>
              <w:sz w:val="24"/>
            </w:rPr>
            <w:t xml:space="preserve">Name: </w:t>
          </w:r>
          <w:r>
            <w:rPr>
              <w:b/>
              <w:sz w:val="24"/>
            </w:rPr>
            <w:tab/>
          </w:r>
          <w:r w:rsidRPr="0037159F">
            <w:rPr>
              <w:b/>
              <w:sz w:val="24"/>
            </w:rPr>
            <w:t xml:space="preserve">Vorname: </w:t>
          </w:r>
          <w:r>
            <w:rPr>
              <w:b/>
              <w:sz w:val="24"/>
            </w:rPr>
            <w:tab/>
          </w:r>
          <w:r w:rsidRPr="0037159F">
            <w:rPr>
              <w:b/>
              <w:sz w:val="24"/>
            </w:rPr>
            <w:t>Klasse:</w:t>
          </w:r>
        </w:p>
      </w:tc>
    </w:tr>
  </w:tbl>
  <w:p w:rsidR="00562BB8" w:rsidRDefault="00562BB8" w:rsidP="00D05DEA">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05A5"/>
    <w:multiLevelType w:val="multilevel"/>
    <w:tmpl w:val="F0C44BE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24E76100"/>
    <w:multiLevelType w:val="hybridMultilevel"/>
    <w:tmpl w:val="5BC2B432"/>
    <w:lvl w:ilvl="0" w:tplc="93269BEE">
      <w:start w:val="1"/>
      <w:numFmt w:val="decimal"/>
      <w:lvlText w:val="%1)"/>
      <w:lvlJc w:val="left"/>
      <w:pPr>
        <w:tabs>
          <w:tab w:val="num" w:pos="425"/>
        </w:tabs>
        <w:ind w:left="425" w:hanging="425"/>
      </w:pPr>
      <w:rPr>
        <w:rFonts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nsid w:val="45533BB0"/>
    <w:multiLevelType w:val="hybridMultilevel"/>
    <w:tmpl w:val="6A50D58A"/>
    <w:lvl w:ilvl="0" w:tplc="04070001">
      <w:start w:val="1"/>
      <w:numFmt w:val="bullet"/>
      <w:lvlText w:val=""/>
      <w:lvlJc w:val="left"/>
      <w:pPr>
        <w:ind w:left="435" w:hanging="435"/>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EA"/>
    <w:rsid w:val="00107AF4"/>
    <w:rsid w:val="00114267"/>
    <w:rsid w:val="001570DA"/>
    <w:rsid w:val="001E359A"/>
    <w:rsid w:val="002201D3"/>
    <w:rsid w:val="002245D1"/>
    <w:rsid w:val="0037159F"/>
    <w:rsid w:val="003B205A"/>
    <w:rsid w:val="003F1514"/>
    <w:rsid w:val="004C3D3E"/>
    <w:rsid w:val="00517F4B"/>
    <w:rsid w:val="00562BB8"/>
    <w:rsid w:val="00581A0C"/>
    <w:rsid w:val="006906CA"/>
    <w:rsid w:val="007017E8"/>
    <w:rsid w:val="00753B6A"/>
    <w:rsid w:val="00771E1E"/>
    <w:rsid w:val="008947E8"/>
    <w:rsid w:val="008D305F"/>
    <w:rsid w:val="00923EB5"/>
    <w:rsid w:val="009776B5"/>
    <w:rsid w:val="009E7007"/>
    <w:rsid w:val="00A22A90"/>
    <w:rsid w:val="00A9436B"/>
    <w:rsid w:val="00B17402"/>
    <w:rsid w:val="00C55C67"/>
    <w:rsid w:val="00CF2A05"/>
    <w:rsid w:val="00D05DEA"/>
    <w:rsid w:val="00E922B7"/>
    <w:rsid w:val="00EE3DC0"/>
    <w:rsid w:val="00F21C66"/>
    <w:rsid w:val="00F26F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05DEA"/>
    <w:pPr>
      <w:spacing w:after="120" w:line="360" w:lineRule="auto"/>
    </w:pPr>
    <w:rPr>
      <w:rFonts w:ascii="Arial" w:eastAsiaTheme="minorHAnsi" w:hAnsi="Arial" w:cstheme="minorBidi"/>
      <w:sz w:val="22"/>
      <w:szCs w:val="22"/>
      <w:lang w:eastAsia="en-US"/>
    </w:rPr>
  </w:style>
  <w:style w:type="paragraph" w:styleId="berschrift1">
    <w:name w:val="heading 1"/>
    <w:basedOn w:val="Standard"/>
    <w:next w:val="Standard"/>
    <w:qFormat/>
    <w:rsid w:val="00E922B7"/>
    <w:pPr>
      <w:keepNext/>
      <w:spacing w:before="240" w:after="60"/>
      <w:outlineLvl w:val="0"/>
    </w:pPr>
    <w:rPr>
      <w:rFonts w:cs="Arial"/>
      <w:b/>
      <w:bCs/>
      <w:kern w:val="32"/>
      <w:sz w:val="32"/>
      <w:szCs w:val="32"/>
    </w:rPr>
  </w:style>
  <w:style w:type="paragraph" w:styleId="berschrift2">
    <w:name w:val="heading 2"/>
    <w:basedOn w:val="Standard"/>
    <w:next w:val="Standard"/>
    <w:qFormat/>
    <w:rsid w:val="00E922B7"/>
    <w:pPr>
      <w:keepNext/>
      <w:spacing w:before="240" w:after="60"/>
      <w:outlineLvl w:val="1"/>
    </w:pPr>
    <w:rPr>
      <w:rFonts w:cs="Arial"/>
      <w:b/>
      <w:bCs/>
      <w:iCs/>
      <w:sz w:val="28"/>
      <w:szCs w:val="28"/>
    </w:rPr>
  </w:style>
  <w:style w:type="paragraph" w:styleId="berschrift3">
    <w:name w:val="heading 3"/>
    <w:basedOn w:val="Standard"/>
    <w:next w:val="Standard"/>
    <w:qFormat/>
    <w:rsid w:val="00E922B7"/>
    <w:pPr>
      <w:keepNext/>
      <w:spacing w:before="24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922B7"/>
    <w:pPr>
      <w:tabs>
        <w:tab w:val="center" w:pos="4536"/>
        <w:tab w:val="right" w:pos="9072"/>
      </w:tabs>
    </w:pPr>
  </w:style>
  <w:style w:type="paragraph" w:styleId="Fuzeile">
    <w:name w:val="footer"/>
    <w:basedOn w:val="Standard"/>
    <w:rsid w:val="00E922B7"/>
    <w:pPr>
      <w:tabs>
        <w:tab w:val="center" w:pos="4536"/>
        <w:tab w:val="right" w:pos="9072"/>
      </w:tabs>
    </w:pPr>
  </w:style>
  <w:style w:type="table" w:styleId="Tabellenraster">
    <w:name w:val="Table Grid"/>
    <w:basedOn w:val="NormaleTabelle"/>
    <w:rsid w:val="00E92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D05DEA"/>
    <w:rPr>
      <w:rFonts w:ascii="Tahoma" w:hAnsi="Tahoma" w:cs="Tahoma"/>
      <w:sz w:val="16"/>
      <w:szCs w:val="16"/>
    </w:rPr>
  </w:style>
  <w:style w:type="character" w:customStyle="1" w:styleId="SprechblasentextZchn">
    <w:name w:val="Sprechblasentext Zchn"/>
    <w:basedOn w:val="Absatz-Standardschriftart"/>
    <w:link w:val="Sprechblasentext"/>
    <w:rsid w:val="00D05DEA"/>
    <w:rPr>
      <w:rFonts w:ascii="Tahoma" w:hAnsi="Tahoma" w:cs="Tahoma"/>
      <w:sz w:val="16"/>
      <w:szCs w:val="16"/>
    </w:rPr>
  </w:style>
  <w:style w:type="paragraph" w:styleId="Listenabsatz">
    <w:name w:val="List Paragraph"/>
    <w:basedOn w:val="Standard"/>
    <w:uiPriority w:val="34"/>
    <w:qFormat/>
    <w:rsid w:val="00D05DEA"/>
    <w:pPr>
      <w:ind w:left="720"/>
      <w:contextualSpacing/>
    </w:pPr>
  </w:style>
  <w:style w:type="table" w:styleId="HelleListe-Akzent1">
    <w:name w:val="Light List Accent 1"/>
    <w:basedOn w:val="NormaleTabelle"/>
    <w:uiPriority w:val="61"/>
    <w:rsid w:val="00D05DE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05DEA"/>
    <w:pPr>
      <w:spacing w:after="120" w:line="360" w:lineRule="auto"/>
    </w:pPr>
    <w:rPr>
      <w:rFonts w:ascii="Arial" w:eastAsiaTheme="minorHAnsi" w:hAnsi="Arial" w:cstheme="minorBidi"/>
      <w:sz w:val="22"/>
      <w:szCs w:val="22"/>
      <w:lang w:eastAsia="en-US"/>
    </w:rPr>
  </w:style>
  <w:style w:type="paragraph" w:styleId="berschrift1">
    <w:name w:val="heading 1"/>
    <w:basedOn w:val="Standard"/>
    <w:next w:val="Standard"/>
    <w:qFormat/>
    <w:rsid w:val="00E922B7"/>
    <w:pPr>
      <w:keepNext/>
      <w:spacing w:before="240" w:after="60"/>
      <w:outlineLvl w:val="0"/>
    </w:pPr>
    <w:rPr>
      <w:rFonts w:cs="Arial"/>
      <w:b/>
      <w:bCs/>
      <w:kern w:val="32"/>
      <w:sz w:val="32"/>
      <w:szCs w:val="32"/>
    </w:rPr>
  </w:style>
  <w:style w:type="paragraph" w:styleId="berschrift2">
    <w:name w:val="heading 2"/>
    <w:basedOn w:val="Standard"/>
    <w:next w:val="Standard"/>
    <w:qFormat/>
    <w:rsid w:val="00E922B7"/>
    <w:pPr>
      <w:keepNext/>
      <w:spacing w:before="240" w:after="60"/>
      <w:outlineLvl w:val="1"/>
    </w:pPr>
    <w:rPr>
      <w:rFonts w:cs="Arial"/>
      <w:b/>
      <w:bCs/>
      <w:iCs/>
      <w:sz w:val="28"/>
      <w:szCs w:val="28"/>
    </w:rPr>
  </w:style>
  <w:style w:type="paragraph" w:styleId="berschrift3">
    <w:name w:val="heading 3"/>
    <w:basedOn w:val="Standard"/>
    <w:next w:val="Standard"/>
    <w:qFormat/>
    <w:rsid w:val="00E922B7"/>
    <w:pPr>
      <w:keepNext/>
      <w:spacing w:before="24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922B7"/>
    <w:pPr>
      <w:tabs>
        <w:tab w:val="center" w:pos="4536"/>
        <w:tab w:val="right" w:pos="9072"/>
      </w:tabs>
    </w:pPr>
  </w:style>
  <w:style w:type="paragraph" w:styleId="Fuzeile">
    <w:name w:val="footer"/>
    <w:basedOn w:val="Standard"/>
    <w:rsid w:val="00E922B7"/>
    <w:pPr>
      <w:tabs>
        <w:tab w:val="center" w:pos="4536"/>
        <w:tab w:val="right" w:pos="9072"/>
      </w:tabs>
    </w:pPr>
  </w:style>
  <w:style w:type="table" w:styleId="Tabellenraster">
    <w:name w:val="Table Grid"/>
    <w:basedOn w:val="NormaleTabelle"/>
    <w:rsid w:val="00E92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D05DEA"/>
    <w:rPr>
      <w:rFonts w:ascii="Tahoma" w:hAnsi="Tahoma" w:cs="Tahoma"/>
      <w:sz w:val="16"/>
      <w:szCs w:val="16"/>
    </w:rPr>
  </w:style>
  <w:style w:type="character" w:customStyle="1" w:styleId="SprechblasentextZchn">
    <w:name w:val="Sprechblasentext Zchn"/>
    <w:basedOn w:val="Absatz-Standardschriftart"/>
    <w:link w:val="Sprechblasentext"/>
    <w:rsid w:val="00D05DEA"/>
    <w:rPr>
      <w:rFonts w:ascii="Tahoma" w:hAnsi="Tahoma" w:cs="Tahoma"/>
      <w:sz w:val="16"/>
      <w:szCs w:val="16"/>
    </w:rPr>
  </w:style>
  <w:style w:type="paragraph" w:styleId="Listenabsatz">
    <w:name w:val="List Paragraph"/>
    <w:basedOn w:val="Standard"/>
    <w:uiPriority w:val="34"/>
    <w:qFormat/>
    <w:rsid w:val="00D05DEA"/>
    <w:pPr>
      <w:ind w:left="720"/>
      <w:contextualSpacing/>
    </w:pPr>
  </w:style>
  <w:style w:type="table" w:styleId="HelleListe-Akzent1">
    <w:name w:val="Light List Accent 1"/>
    <w:basedOn w:val="NormaleTabelle"/>
    <w:uiPriority w:val="61"/>
    <w:rsid w:val="00D05DE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mpel\AppData\Roaming\Microsoft\Templates\AB%20Informatik.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6C2ED-C5D6-49B4-B874-1178640B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 Informatik.dotx</Template>
  <TotalTime>0</TotalTime>
  <Pages>1</Pages>
  <Words>385</Words>
  <Characters>2431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Richard-Wossidlo-Gymnasium Ribnitz-Damgarten</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Tino Hempel</dc:creator>
  <cp:lastModifiedBy>Tino Hempel</cp:lastModifiedBy>
  <cp:revision>5</cp:revision>
  <dcterms:created xsi:type="dcterms:W3CDTF">2013-10-22T07:59:00Z</dcterms:created>
  <dcterms:modified xsi:type="dcterms:W3CDTF">2014-11-19T16:01:00Z</dcterms:modified>
</cp:coreProperties>
</file>